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mallCaps w:val="0"/>
          <w:sz w:val="36"/>
          <w:szCs w:val="36"/>
          <w:u w:val="single"/>
          <w:rtl w:val="0"/>
        </w:rPr>
        <w:t xml:space="preserve">Welcome to the Deaf World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center"/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Study Guide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1.  What information does Ben Bahan give in his introduction about himself?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2.  Is Harlan Lane Deaf or Hearing?   What does Harlan believe about Deaf people, and  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how does this view differ from the view most hearin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people have?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3.  What is a coda?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4.  How are introductions made in the Deaf-World.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5.  How does Deaf culture differ from other diverse cultures in the world?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6.  What determines a person’s membership in the Deaf-World?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7. How does this culture differ from other cultures in terms of when an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 how members   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learn the language and the culture.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8.  Why does language competency vary among members of the Deaf-World?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9.  What is the primary language of the Deaf-World?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10.  Why do some hearing people feel unwelcome in the Deaf-World?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11. What is a TTY.  How does making a call through the TTY operator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work?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12.  How is Gloria’s first experience inside the Deaf Club similar to what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Deaf people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experience in the hearing world.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13.   What information is given about each of the following in the  introductions to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Gloria: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ab/>
        <w:t xml:space="preserve">Jake: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ab/>
        <w:t xml:space="preserve">Roberto: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ab/>
        <w:t xml:space="preserve">Laurel: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ab/>
        <w:t xml:space="preserve">Henry: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14.  Why is it a mistake to refer to Deaf people as 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rtl w:val="0"/>
        </w:rPr>
        <w:t xml:space="preserve">Hearing-Impaired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?”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15.  How do each of the characters answer Gloria’s question about whe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and how their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parents discovered they were deaf?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ab/>
        <w:t xml:space="preserve">Jake: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ab/>
        <w:t xml:space="preserve">Roberto: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ab/>
        <w:t xml:space="preserve">Laurel: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ab/>
        <w:t xml:space="preserve">Henry: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16.  How do the characters say they felt when they found out they wer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  Deaf?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17.  How does Henry describe he and his wife’s reaction to having Deaf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children.  How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do they raise 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eir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 kids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 How did his parents and in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laws react to deaf 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grandchildren. How does that affect Henry?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18.  Describe Laurel’s experience.  How have her parents’ reactions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affected her?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19.  Describe Roberto’s experience in his family.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20.   How valuable is the ability to speak and lipread to the members of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the Deaf-World?</w:t>
      </w:r>
    </w:p>
    <w:sectPr>
      <w:pgSz w:h="15840" w:w="12240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